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4DC6D3D9" w:rsidR="002C4C07" w:rsidRDefault="002C4C07" w:rsidP="002C4C07">
      <w:pPr>
        <w:jc w:val="center"/>
        <w:rPr>
          <w:b/>
        </w:rPr>
      </w:pPr>
      <w:r w:rsidRPr="00EF6393">
        <w:rPr>
          <w:rFonts w:hint="eastAsia"/>
          <w:b/>
        </w:rPr>
        <w:t>富荣量化周观察——</w:t>
      </w:r>
      <w:r w:rsidR="000C1AA5">
        <w:rPr>
          <w:rFonts w:hint="eastAsia"/>
          <w:b/>
        </w:rPr>
        <w:t xml:space="preserve">顺周期持续发力 </w:t>
      </w:r>
      <w:r w:rsidR="00445CAB">
        <w:rPr>
          <w:rFonts w:hint="eastAsia"/>
          <w:b/>
        </w:rPr>
        <w:t>全年市场风格加速平衡</w:t>
      </w:r>
    </w:p>
    <w:p w14:paraId="2E0A072D" w14:textId="77777777" w:rsidR="00930F5D" w:rsidRPr="00EF6393" w:rsidRDefault="00930F5D" w:rsidP="002C4C07">
      <w:pPr>
        <w:jc w:val="center"/>
        <w:rPr>
          <w:b/>
        </w:rPr>
      </w:pPr>
    </w:p>
    <w:p w14:paraId="6C49DF6F" w14:textId="0B37C6E2" w:rsidR="00FA3DFC" w:rsidRDefault="00FA3DFC" w:rsidP="00B236BA">
      <w:pPr>
        <w:ind w:firstLineChars="200" w:firstLine="480"/>
      </w:pPr>
      <w:r>
        <w:rPr>
          <w:rFonts w:hint="eastAsia"/>
        </w:rPr>
        <w:t>本周A股市场分化加大，上证50指数</w:t>
      </w:r>
      <w:proofErr w:type="gramStart"/>
      <w:r>
        <w:rPr>
          <w:rFonts w:hint="eastAsia"/>
        </w:rPr>
        <w:t>领涨全市场</w:t>
      </w:r>
      <w:proofErr w:type="gramEnd"/>
      <w:r>
        <w:rPr>
          <w:rFonts w:hint="eastAsia"/>
        </w:rPr>
        <w:t>，本周收涨2.54%，上证综指收涨0.91%、深证成指周内下跌了1.17%、创业</w:t>
      </w:r>
      <w:proofErr w:type="gramStart"/>
      <w:r>
        <w:rPr>
          <w:rFonts w:hint="eastAsia"/>
        </w:rPr>
        <w:t>板下跌</w:t>
      </w:r>
      <w:proofErr w:type="gramEnd"/>
      <w:r>
        <w:rPr>
          <w:rFonts w:hint="eastAsia"/>
        </w:rPr>
        <w:t>1.80%、</w:t>
      </w:r>
      <w:proofErr w:type="gramStart"/>
      <w:r>
        <w:rPr>
          <w:rFonts w:hint="eastAsia"/>
        </w:rPr>
        <w:t>科创</w:t>
      </w:r>
      <w:proofErr w:type="gramEnd"/>
      <w:r>
        <w:rPr>
          <w:rFonts w:hint="eastAsia"/>
        </w:rPr>
        <w:t>50指数下跌3.00%。</w:t>
      </w:r>
      <w:r w:rsidR="00607AA3">
        <w:rPr>
          <w:rFonts w:hint="eastAsia"/>
        </w:rPr>
        <w:t>从行业来看</w:t>
      </w:r>
      <w:r w:rsidRPr="00FA3DFC">
        <w:rPr>
          <w:rFonts w:hint="eastAsia"/>
        </w:rPr>
        <w:t>，银行板块涨幅领先，</w:t>
      </w:r>
      <w:proofErr w:type="gramStart"/>
      <w:r w:rsidRPr="00FA3DFC">
        <w:rPr>
          <w:rFonts w:hint="eastAsia"/>
        </w:rPr>
        <w:t>周度涨幅</w:t>
      </w:r>
      <w:proofErr w:type="gramEnd"/>
      <w:r w:rsidRPr="00FA3DFC">
        <w:rPr>
          <w:rFonts w:hint="eastAsia"/>
        </w:rPr>
        <w:t>达</w:t>
      </w:r>
      <w:r w:rsidRPr="00FA3DFC">
        <w:t>4.38%，其次是非</w:t>
      </w:r>
      <w:proofErr w:type="gramStart"/>
      <w:r w:rsidRPr="00FA3DFC">
        <w:t>银金融</w:t>
      </w:r>
      <w:r w:rsidR="00B54C2A">
        <w:rPr>
          <w:rFonts w:hint="eastAsia"/>
        </w:rPr>
        <w:t>收</w:t>
      </w:r>
      <w:proofErr w:type="gramEnd"/>
      <w:r w:rsidR="00B54C2A">
        <w:rPr>
          <w:rFonts w:hint="eastAsia"/>
        </w:rPr>
        <w:t>涨</w:t>
      </w:r>
      <w:r w:rsidRPr="00FA3DFC">
        <w:t>3.91%</w:t>
      </w:r>
      <w:r w:rsidR="00B54C2A">
        <w:t>，</w:t>
      </w:r>
      <w:r w:rsidRPr="00FA3DFC">
        <w:t>采掘</w:t>
      </w:r>
      <w:r w:rsidR="00B54C2A">
        <w:rPr>
          <w:rFonts w:hint="eastAsia"/>
        </w:rPr>
        <w:t>行业收涨</w:t>
      </w:r>
      <w:r w:rsidRPr="00FA3DFC">
        <w:t>2.70%。</w:t>
      </w:r>
      <w:r w:rsidR="00B54C2A">
        <w:rPr>
          <w:rFonts w:hint="eastAsia"/>
        </w:rPr>
        <w:t>本周</w:t>
      </w:r>
      <w:r w:rsidR="000A2BA4">
        <w:rPr>
          <w:rFonts w:hint="eastAsia"/>
        </w:rPr>
        <w:t>，</w:t>
      </w:r>
      <w:r w:rsidR="006E16BE">
        <w:rPr>
          <w:rFonts w:hint="eastAsia"/>
        </w:rPr>
        <w:t>今年涨幅前3的创业板、创50、</w:t>
      </w:r>
      <w:proofErr w:type="gramStart"/>
      <w:r w:rsidR="006E16BE">
        <w:rPr>
          <w:rFonts w:hint="eastAsia"/>
        </w:rPr>
        <w:t>科创板</w:t>
      </w:r>
      <w:proofErr w:type="gramEnd"/>
      <w:r w:rsidR="006E16BE">
        <w:rPr>
          <w:rFonts w:hint="eastAsia"/>
        </w:rPr>
        <w:t>表现明显不如上证50等蓝筹指数。市场过去一周的结果非常符合我们在上周周观察里指出的市场的风格在过去的一年中逐渐</w:t>
      </w:r>
      <w:bookmarkStart w:id="0" w:name="_GoBack"/>
      <w:bookmarkEnd w:id="0"/>
      <w:r w:rsidR="006E16BE">
        <w:rPr>
          <w:rFonts w:hint="eastAsia"/>
        </w:rPr>
        <w:t>平衡。</w:t>
      </w:r>
    </w:p>
    <w:p w14:paraId="743C9228" w14:textId="4CEE0B52" w:rsidR="00FA3876" w:rsidRDefault="00607AA3" w:rsidP="00B236BA">
      <w:pPr>
        <w:ind w:firstLineChars="200" w:firstLine="480"/>
      </w:pPr>
      <w:r>
        <w:rPr>
          <w:rFonts w:hint="eastAsia"/>
        </w:rPr>
        <w:t>上周是</w:t>
      </w:r>
      <w:r w:rsidR="00A229D9">
        <w:rPr>
          <w:rFonts w:hint="eastAsia"/>
        </w:rPr>
        <w:t>1</w:t>
      </w:r>
      <w:r w:rsidR="00A229D9">
        <w:t>1</w:t>
      </w:r>
      <w:r w:rsidR="00A229D9">
        <w:rPr>
          <w:rFonts w:hint="eastAsia"/>
        </w:rPr>
        <w:t>月份</w:t>
      </w:r>
      <w:r>
        <w:rPr>
          <w:rFonts w:hint="eastAsia"/>
        </w:rPr>
        <w:t>最后一周</w:t>
      </w:r>
      <w:r w:rsidR="00A229D9">
        <w:rPr>
          <w:rFonts w:hint="eastAsia"/>
        </w:rPr>
        <w:t>，</w:t>
      </w:r>
      <w:r>
        <w:rPr>
          <w:rFonts w:hint="eastAsia"/>
        </w:rPr>
        <w:t>市场维持着经济复苏的概念行情，</w:t>
      </w:r>
      <w:r w:rsidR="009621F7">
        <w:rPr>
          <w:rFonts w:hint="eastAsia"/>
        </w:rPr>
        <w:t>顺周期的相关行业</w:t>
      </w:r>
      <w:r w:rsidR="00445CAB">
        <w:rPr>
          <w:rFonts w:hint="eastAsia"/>
        </w:rPr>
        <w:t>收益</w:t>
      </w:r>
      <w:r w:rsidR="009621F7">
        <w:rPr>
          <w:rFonts w:hint="eastAsia"/>
        </w:rPr>
        <w:t>明显</w:t>
      </w:r>
      <w:r w:rsidR="00FA3876">
        <w:rPr>
          <w:rFonts w:hint="eastAsia"/>
        </w:rPr>
        <w:t>。</w:t>
      </w:r>
      <w:r w:rsidR="000631BE">
        <w:rPr>
          <w:rFonts w:hint="eastAsia"/>
        </w:rPr>
        <w:t>从因子表现来看，本周</w:t>
      </w:r>
      <w:r>
        <w:rPr>
          <w:rFonts w:hint="eastAsia"/>
        </w:rPr>
        <w:t>、本月</w:t>
      </w:r>
      <w:r w:rsidR="000631BE">
        <w:rPr>
          <w:rFonts w:hint="eastAsia"/>
        </w:rPr>
        <w:t>估值因子、流动性因子、</w:t>
      </w:r>
      <w:r>
        <w:rPr>
          <w:rFonts w:hint="eastAsia"/>
        </w:rPr>
        <w:t>价量因子</w:t>
      </w:r>
      <w:r w:rsidR="000631BE">
        <w:rPr>
          <w:rFonts w:hint="eastAsia"/>
        </w:rPr>
        <w:t>表现优异，前期表现强势的成长因子则</w:t>
      </w:r>
      <w:r w:rsidR="00FA3876">
        <w:rPr>
          <w:rFonts w:hint="eastAsia"/>
        </w:rPr>
        <w:t>开始</w:t>
      </w:r>
      <w:r w:rsidR="000631BE">
        <w:rPr>
          <w:rFonts w:hint="eastAsia"/>
        </w:rPr>
        <w:t>有所回撤</w:t>
      </w:r>
      <w:r w:rsidR="00FA3876">
        <w:rPr>
          <w:rFonts w:hint="eastAsia"/>
        </w:rPr>
        <w:t>。</w:t>
      </w:r>
    </w:p>
    <w:p w14:paraId="74B85AE1" w14:textId="6FF19D0E" w:rsidR="00B65208" w:rsidRDefault="00FA3876" w:rsidP="00B236BA">
      <w:pPr>
        <w:ind w:firstLineChars="200" w:firstLine="480"/>
      </w:pPr>
      <w:r>
        <w:rPr>
          <w:rFonts w:hint="eastAsia"/>
        </w:rPr>
        <w:t>综上来看，市场本周在顺周期的板块带动下出现了明显的风格分化</w:t>
      </w:r>
      <w:r w:rsidR="00607AA3">
        <w:rPr>
          <w:rFonts w:hint="eastAsia"/>
        </w:rPr>
        <w:t>，全年的市场风格正在加速平衡。</w:t>
      </w:r>
      <w:r w:rsidR="00B65208">
        <w:rPr>
          <w:rFonts w:hint="eastAsia"/>
        </w:rPr>
        <w:t>从波动率来看，本周市场波动率</w:t>
      </w:r>
      <w:r w:rsidR="00607AA3">
        <w:rPr>
          <w:rFonts w:hint="eastAsia"/>
        </w:rPr>
        <w:t>继续回落</w:t>
      </w:r>
      <w:r w:rsidR="00B65208">
        <w:rPr>
          <w:rFonts w:hint="eastAsia"/>
        </w:rPr>
        <w:t>，无论是上证5</w:t>
      </w:r>
      <w:r w:rsidR="00B65208">
        <w:t>0</w:t>
      </w:r>
      <w:r w:rsidR="00B65208">
        <w:rPr>
          <w:rFonts w:hint="eastAsia"/>
        </w:rPr>
        <w:t>期权波动</w:t>
      </w:r>
      <w:proofErr w:type="gramStart"/>
      <w:r w:rsidR="00B65208">
        <w:rPr>
          <w:rFonts w:hint="eastAsia"/>
        </w:rPr>
        <w:t>率指数</w:t>
      </w:r>
      <w:proofErr w:type="gramEnd"/>
      <w:r w:rsidR="00B65208">
        <w:rPr>
          <w:rFonts w:hint="eastAsia"/>
        </w:rPr>
        <w:t>还是沪深3</w:t>
      </w:r>
      <w:r w:rsidR="00B65208">
        <w:t>00</w:t>
      </w:r>
      <w:r w:rsidR="00FA6E7E">
        <w:rPr>
          <w:rFonts w:hint="eastAsia"/>
        </w:rPr>
        <w:t>波动</w:t>
      </w:r>
      <w:proofErr w:type="gramStart"/>
      <w:r w:rsidR="00FA6E7E">
        <w:rPr>
          <w:rFonts w:hint="eastAsia"/>
        </w:rPr>
        <w:t>率指数</w:t>
      </w:r>
      <w:proofErr w:type="gramEnd"/>
      <w:r w:rsidR="00FA6E7E">
        <w:rPr>
          <w:rFonts w:hint="eastAsia"/>
        </w:rPr>
        <w:t>都下降到了历史相对低位，市场表现出对未来</w:t>
      </w:r>
      <w:r w:rsidR="00B65208">
        <w:rPr>
          <w:rFonts w:hint="eastAsia"/>
        </w:rPr>
        <w:t>乐观的看法。</w:t>
      </w:r>
    </w:p>
    <w:p w14:paraId="2070604B" w14:textId="12B816CD" w:rsidR="00445CAB" w:rsidRPr="00445CAB" w:rsidRDefault="00445CAB" w:rsidP="00445CAB">
      <w:pPr>
        <w:ind w:firstLineChars="200" w:firstLine="480"/>
        <w:jc w:val="center"/>
      </w:pPr>
      <w:r>
        <w:rPr>
          <w:rFonts w:hint="eastAsia"/>
        </w:rPr>
        <w:t xml:space="preserve">图 </w:t>
      </w:r>
      <w:r>
        <w:t xml:space="preserve">1 </w:t>
      </w:r>
      <w:r>
        <w:rPr>
          <w:rFonts w:hint="eastAsia"/>
        </w:rPr>
        <w:t>沪深3</w:t>
      </w:r>
      <w:r>
        <w:t>00</w:t>
      </w:r>
      <w:r>
        <w:rPr>
          <w:rFonts w:hint="eastAsia"/>
        </w:rPr>
        <w:t>指数期权波动率指数</w:t>
      </w:r>
    </w:p>
    <w:p w14:paraId="05FA3EB8" w14:textId="0D106D65" w:rsidR="00A229D9" w:rsidRDefault="00607AA3" w:rsidP="00FA6E7E">
      <w:r>
        <w:rPr>
          <w:noProof/>
        </w:rPr>
        <w:drawing>
          <wp:inline distT="0" distB="0" distL="0" distR="0" wp14:anchorId="4A417F93" wp14:editId="1348B054">
            <wp:extent cx="5274310" cy="3306211"/>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306211"/>
                    </a:xfrm>
                    <a:prstGeom prst="rect">
                      <a:avLst/>
                    </a:prstGeom>
                  </pic:spPr>
                </pic:pic>
              </a:graphicData>
            </a:graphic>
          </wp:inline>
        </w:drawing>
      </w:r>
    </w:p>
    <w:p w14:paraId="0E952279" w14:textId="70A2EBFB" w:rsidR="00FA6E7E" w:rsidRDefault="00FA6E7E" w:rsidP="00FA6E7E">
      <w:pPr>
        <w:jc w:val="left"/>
      </w:pPr>
      <w:r>
        <w:rPr>
          <w:rFonts w:hint="eastAsia"/>
        </w:rPr>
        <w:t>来源：富</w:t>
      </w:r>
      <w:proofErr w:type="gramStart"/>
      <w:r>
        <w:rPr>
          <w:rFonts w:hint="eastAsia"/>
        </w:rPr>
        <w:t>荣基金</w:t>
      </w:r>
      <w:proofErr w:type="gramEnd"/>
      <w:r>
        <w:rPr>
          <w:rFonts w:hint="eastAsia"/>
        </w:rPr>
        <w:t>量化组</w:t>
      </w:r>
    </w:p>
    <w:p w14:paraId="5B957EDD" w14:textId="661C80E2" w:rsidR="00607AA3" w:rsidRDefault="009A3A51" w:rsidP="00B236BA">
      <w:pPr>
        <w:ind w:firstLineChars="200" w:firstLine="480"/>
      </w:pPr>
      <w:r>
        <w:rPr>
          <w:rFonts w:hint="eastAsia"/>
        </w:rPr>
        <w:t>从资金流动来看，本周北向资金</w:t>
      </w:r>
      <w:r w:rsidR="00AC2D4C">
        <w:rPr>
          <w:rFonts w:hint="eastAsia"/>
        </w:rPr>
        <w:t>合计流入</w:t>
      </w:r>
      <w:r w:rsidR="00607AA3">
        <w:rPr>
          <w:rFonts w:hint="eastAsia"/>
        </w:rPr>
        <w:t>168.50</w:t>
      </w:r>
      <w:r w:rsidR="00AC2D4C">
        <w:rPr>
          <w:rFonts w:hint="eastAsia"/>
        </w:rPr>
        <w:t>亿</w:t>
      </w:r>
      <w:r>
        <w:rPr>
          <w:rFonts w:hint="eastAsia"/>
        </w:rPr>
        <w:t>，</w:t>
      </w:r>
      <w:r w:rsidR="00AC2D4C">
        <w:rPr>
          <w:rFonts w:hint="eastAsia"/>
        </w:rPr>
        <w:t>其中</w:t>
      </w:r>
      <w:r>
        <w:rPr>
          <w:rFonts w:hint="eastAsia"/>
        </w:rPr>
        <w:t>沪股通流</w:t>
      </w:r>
      <w:r w:rsidR="00AC2D4C">
        <w:rPr>
          <w:rFonts w:hint="eastAsia"/>
        </w:rPr>
        <w:t>入</w:t>
      </w:r>
      <w:r w:rsidR="00607AA3">
        <w:rPr>
          <w:rFonts w:hint="eastAsia"/>
        </w:rPr>
        <w:t>115.09</w:t>
      </w:r>
      <w:r>
        <w:rPr>
          <w:rFonts w:hint="eastAsia"/>
        </w:rPr>
        <w:lastRenderedPageBreak/>
        <w:t>亿，深股通流出</w:t>
      </w:r>
      <w:r w:rsidR="00607AA3">
        <w:t>53.41</w:t>
      </w:r>
      <w:r>
        <w:rPr>
          <w:rFonts w:hint="eastAsia"/>
        </w:rPr>
        <w:t>亿。</w:t>
      </w:r>
      <w:r w:rsidR="00607AA3">
        <w:rPr>
          <w:rFonts w:hint="eastAsia"/>
        </w:rPr>
        <w:t>11月截止到上周五，北向资金流入了529.90亿，沪股通流入400.11亿，深股通流入129.78亿。</w:t>
      </w:r>
    </w:p>
    <w:p w14:paraId="2A9422FC" w14:textId="1130D9A0" w:rsidR="009A3A51" w:rsidRDefault="009A3A51" w:rsidP="00B236BA">
      <w:pPr>
        <w:ind w:firstLineChars="200" w:firstLine="480"/>
      </w:pPr>
      <w:r>
        <w:rPr>
          <w:rFonts w:hint="eastAsia"/>
        </w:rPr>
        <w:t>如下图：</w:t>
      </w:r>
    </w:p>
    <w:p w14:paraId="70BA3FC8" w14:textId="5E77F72B" w:rsidR="00445CAB" w:rsidRDefault="00445CAB" w:rsidP="00445CAB">
      <w:pPr>
        <w:ind w:firstLineChars="200" w:firstLine="480"/>
        <w:jc w:val="center"/>
      </w:pPr>
      <w:r>
        <w:rPr>
          <w:rFonts w:hint="eastAsia"/>
        </w:rPr>
        <w:t xml:space="preserve">图 </w:t>
      </w:r>
      <w:r>
        <w:t xml:space="preserve">2 </w:t>
      </w:r>
      <w:r>
        <w:rPr>
          <w:rFonts w:hint="eastAsia"/>
        </w:rPr>
        <w:t>北向资金流动</w:t>
      </w:r>
    </w:p>
    <w:p w14:paraId="4D2EFB72" w14:textId="6F8AC851" w:rsidR="00B65208" w:rsidRDefault="00607AA3" w:rsidP="00FA6E7E">
      <w:r>
        <w:rPr>
          <w:noProof/>
        </w:rPr>
        <w:drawing>
          <wp:inline distT="0" distB="0" distL="0" distR="0" wp14:anchorId="3A33C316" wp14:editId="5A5EC117">
            <wp:extent cx="5274310" cy="1725139"/>
            <wp:effectExtent l="0" t="0" r="254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25139"/>
                    </a:xfrm>
                    <a:prstGeom prst="rect">
                      <a:avLst/>
                    </a:prstGeom>
                  </pic:spPr>
                </pic:pic>
              </a:graphicData>
            </a:graphic>
          </wp:inline>
        </w:drawing>
      </w:r>
    </w:p>
    <w:p w14:paraId="2416CF2D" w14:textId="453A912F" w:rsidR="00FA6E7E" w:rsidRDefault="00FA6E7E" w:rsidP="00FA6E7E">
      <w:r>
        <w:rPr>
          <w:rFonts w:hint="eastAsia"/>
        </w:rPr>
        <w:t>数据：Wind；图：富</w:t>
      </w:r>
      <w:proofErr w:type="gramStart"/>
      <w:r>
        <w:rPr>
          <w:rFonts w:hint="eastAsia"/>
        </w:rPr>
        <w:t>荣基金</w:t>
      </w:r>
      <w:proofErr w:type="gramEnd"/>
      <w:r>
        <w:rPr>
          <w:rFonts w:hint="eastAsia"/>
        </w:rPr>
        <w:t>量化组</w:t>
      </w:r>
    </w:p>
    <w:p w14:paraId="3B522568" w14:textId="77777777" w:rsidR="00445CAB" w:rsidRDefault="00445CAB" w:rsidP="00FA6E7E"/>
    <w:p w14:paraId="5971D920" w14:textId="5A208281" w:rsidR="00445CAB" w:rsidRDefault="00445CAB" w:rsidP="00445CAB">
      <w:pPr>
        <w:jc w:val="center"/>
      </w:pPr>
      <w:r>
        <w:rPr>
          <w:rFonts w:hint="eastAsia"/>
        </w:rPr>
        <w:t>图 3 新增融资余额</w:t>
      </w:r>
    </w:p>
    <w:p w14:paraId="3FD0F67F" w14:textId="41774548" w:rsidR="009A3A51" w:rsidRDefault="00607AA3" w:rsidP="00B65208">
      <w:r>
        <w:rPr>
          <w:noProof/>
        </w:rPr>
        <w:drawing>
          <wp:inline distT="0" distB="0" distL="0" distR="0" wp14:anchorId="17A9C568" wp14:editId="1A310598">
            <wp:extent cx="5274310" cy="1723918"/>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723918"/>
                    </a:xfrm>
                    <a:prstGeom prst="rect">
                      <a:avLst/>
                    </a:prstGeom>
                  </pic:spPr>
                </pic:pic>
              </a:graphicData>
            </a:graphic>
          </wp:inline>
        </w:drawing>
      </w:r>
    </w:p>
    <w:p w14:paraId="72687B71" w14:textId="637D3F7E" w:rsidR="00FA6E7E" w:rsidRDefault="00FA6E7E" w:rsidP="00B65208">
      <w:r>
        <w:rPr>
          <w:rFonts w:hint="eastAsia"/>
        </w:rPr>
        <w:t>数据：Wind；图：富</w:t>
      </w:r>
      <w:proofErr w:type="gramStart"/>
      <w:r>
        <w:rPr>
          <w:rFonts w:hint="eastAsia"/>
        </w:rPr>
        <w:t>荣基金</w:t>
      </w:r>
      <w:proofErr w:type="gramEnd"/>
      <w:r>
        <w:rPr>
          <w:rFonts w:hint="eastAsia"/>
        </w:rPr>
        <w:t>量化组</w:t>
      </w:r>
    </w:p>
    <w:p w14:paraId="762E8E4A" w14:textId="18BF9743" w:rsidR="009A3A51" w:rsidRDefault="009A3A51" w:rsidP="00B236BA">
      <w:pPr>
        <w:ind w:firstLineChars="200" w:firstLine="480"/>
      </w:pPr>
    </w:p>
    <w:p w14:paraId="4D961193" w14:textId="77777777" w:rsidR="00007135" w:rsidRDefault="00007135" w:rsidP="00B236BA">
      <w:pPr>
        <w:ind w:firstLineChars="200" w:firstLine="480"/>
      </w:pPr>
    </w:p>
    <w:p w14:paraId="112D0D6C" w14:textId="77777777" w:rsidR="00007135" w:rsidRDefault="00007135" w:rsidP="00B236BA">
      <w:pPr>
        <w:ind w:firstLineChars="200" w:firstLine="480"/>
      </w:pPr>
    </w:p>
    <w:p w14:paraId="0868939F" w14:textId="791D8A99" w:rsidR="00007135" w:rsidRPr="00B65208" w:rsidRDefault="00007135" w:rsidP="00B236BA">
      <w:pPr>
        <w:ind w:firstLineChars="200" w:firstLine="480"/>
      </w:pPr>
      <w:r w:rsidRPr="00007135">
        <w:rPr>
          <w:rFonts w:hint="eastAsia"/>
        </w:rPr>
        <w:t>风险提示：</w:t>
      </w:r>
      <w:r w:rsidRPr="00007135">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7135">
        <w:t>作出</w:t>
      </w:r>
      <w:proofErr w:type="gramEnd"/>
      <w:r w:rsidRPr="00007135">
        <w:t>调整。2、本报告中的资料、观点和预测等仅供参考，在任何时候均不构成对任何人的个人推荐。市场有风险，投资需谨慎。</w:t>
      </w:r>
    </w:p>
    <w:sectPr w:rsidR="00007135" w:rsidRPr="00B652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431952" w14:textId="77777777" w:rsidR="0034462F" w:rsidRDefault="0034462F" w:rsidP="002C4C07">
      <w:pPr>
        <w:spacing w:line="240" w:lineRule="auto"/>
      </w:pPr>
      <w:r>
        <w:separator/>
      </w:r>
    </w:p>
  </w:endnote>
  <w:endnote w:type="continuationSeparator" w:id="0">
    <w:p w14:paraId="766ECEC2" w14:textId="77777777" w:rsidR="0034462F" w:rsidRDefault="0034462F"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7C74E5" w14:textId="77777777" w:rsidR="0034462F" w:rsidRDefault="0034462F" w:rsidP="002C4C07">
      <w:pPr>
        <w:spacing w:line="240" w:lineRule="auto"/>
      </w:pPr>
      <w:r>
        <w:separator/>
      </w:r>
    </w:p>
  </w:footnote>
  <w:footnote w:type="continuationSeparator" w:id="0">
    <w:p w14:paraId="2D86BEC4" w14:textId="77777777" w:rsidR="0034462F" w:rsidRDefault="0034462F"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7135"/>
    <w:rsid w:val="00035595"/>
    <w:rsid w:val="000631BE"/>
    <w:rsid w:val="00070AA2"/>
    <w:rsid w:val="000A2BA4"/>
    <w:rsid w:val="000C1AA5"/>
    <w:rsid w:val="001867FC"/>
    <w:rsid w:val="001D19B6"/>
    <w:rsid w:val="001D6061"/>
    <w:rsid w:val="0020342A"/>
    <w:rsid w:val="002062DE"/>
    <w:rsid w:val="002129BA"/>
    <w:rsid w:val="00295F64"/>
    <w:rsid w:val="002A093A"/>
    <w:rsid w:val="002B15CF"/>
    <w:rsid w:val="002B2D6A"/>
    <w:rsid w:val="002C4C07"/>
    <w:rsid w:val="002C7EF7"/>
    <w:rsid w:val="002E17CD"/>
    <w:rsid w:val="0031747C"/>
    <w:rsid w:val="0034462F"/>
    <w:rsid w:val="00374124"/>
    <w:rsid w:val="00386DFB"/>
    <w:rsid w:val="003D637F"/>
    <w:rsid w:val="003F6050"/>
    <w:rsid w:val="00445CAB"/>
    <w:rsid w:val="00454A3A"/>
    <w:rsid w:val="00464A20"/>
    <w:rsid w:val="004E3614"/>
    <w:rsid w:val="00525A53"/>
    <w:rsid w:val="005A2D48"/>
    <w:rsid w:val="005C4905"/>
    <w:rsid w:val="00607AA3"/>
    <w:rsid w:val="006965D2"/>
    <w:rsid w:val="006B1D85"/>
    <w:rsid w:val="006C7CF6"/>
    <w:rsid w:val="006E16BE"/>
    <w:rsid w:val="006E639C"/>
    <w:rsid w:val="0073379B"/>
    <w:rsid w:val="007D5907"/>
    <w:rsid w:val="007F6A29"/>
    <w:rsid w:val="00830122"/>
    <w:rsid w:val="008540B7"/>
    <w:rsid w:val="008916E0"/>
    <w:rsid w:val="00893C6A"/>
    <w:rsid w:val="008A74C1"/>
    <w:rsid w:val="008B1754"/>
    <w:rsid w:val="008B27E8"/>
    <w:rsid w:val="00907C93"/>
    <w:rsid w:val="00930F5D"/>
    <w:rsid w:val="009621F7"/>
    <w:rsid w:val="00987C63"/>
    <w:rsid w:val="009953B9"/>
    <w:rsid w:val="009A3A51"/>
    <w:rsid w:val="009D02A8"/>
    <w:rsid w:val="00A07990"/>
    <w:rsid w:val="00A229D9"/>
    <w:rsid w:val="00A51293"/>
    <w:rsid w:val="00A61347"/>
    <w:rsid w:val="00A72DA9"/>
    <w:rsid w:val="00A90927"/>
    <w:rsid w:val="00AC2D4C"/>
    <w:rsid w:val="00B236BA"/>
    <w:rsid w:val="00B54C2A"/>
    <w:rsid w:val="00B65208"/>
    <w:rsid w:val="00B82632"/>
    <w:rsid w:val="00B91093"/>
    <w:rsid w:val="00BA3587"/>
    <w:rsid w:val="00BA72C2"/>
    <w:rsid w:val="00BC61FC"/>
    <w:rsid w:val="00BD6BA1"/>
    <w:rsid w:val="00C24E54"/>
    <w:rsid w:val="00CD5494"/>
    <w:rsid w:val="00CD673E"/>
    <w:rsid w:val="00D055BF"/>
    <w:rsid w:val="00D458F1"/>
    <w:rsid w:val="00D46833"/>
    <w:rsid w:val="00D868FA"/>
    <w:rsid w:val="00DD21CB"/>
    <w:rsid w:val="00DD2E6A"/>
    <w:rsid w:val="00DF6F9A"/>
    <w:rsid w:val="00E86C8A"/>
    <w:rsid w:val="00E87750"/>
    <w:rsid w:val="00EF2A7A"/>
    <w:rsid w:val="00F13186"/>
    <w:rsid w:val="00FA3876"/>
    <w:rsid w:val="00FA3DFC"/>
    <w:rsid w:val="00FA6E7E"/>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648</TotalTime>
  <Pages>2</Pages>
  <Words>126</Words>
  <Characters>724</Characters>
  <Application>Microsoft Office Word</Application>
  <DocSecurity>0</DocSecurity>
  <Lines>6</Lines>
  <Paragraphs>1</Paragraphs>
  <ScaleCrop>false</ScaleCrop>
  <Company/>
  <LinksUpToDate>false</LinksUpToDate>
  <CharactersWithSpaces>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61</cp:revision>
  <dcterms:created xsi:type="dcterms:W3CDTF">2020-06-21T08:02:00Z</dcterms:created>
  <dcterms:modified xsi:type="dcterms:W3CDTF">2020-11-30T06:43:00Z</dcterms:modified>
</cp:coreProperties>
</file>